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CEB9" w14:textId="77777777" w:rsidR="00D53C3B" w:rsidRPr="00315C32" w:rsidRDefault="00575990" w:rsidP="003F0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A5AF6" w14:textId="77777777" w:rsidR="00D53C3B" w:rsidRPr="00315C32" w:rsidRDefault="00D53C3B" w:rsidP="003F0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8EE38" w14:textId="770AEA7C" w:rsidR="00034D61" w:rsidRPr="00315C32" w:rsidRDefault="00D53C3B" w:rsidP="003F0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BD4D56"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Единой</w:t>
      </w: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учетной политики </w:t>
      </w:r>
      <w:r w:rsidR="00F22262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казенного учреждения «Централизованная бухгалтерия учреждений </w:t>
      </w:r>
      <w:r w:rsidR="002F36CC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культуры </w:t>
      </w:r>
      <w:r w:rsidR="00F22262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округа «Город Чита»</w:t>
      </w:r>
      <w:r w:rsidR="00F22262" w:rsidRPr="003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D61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202</w:t>
      </w:r>
      <w:r w:rsidR="00714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34D61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034D61" w:rsidRPr="003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6BC2B6" w14:textId="2FA3F133" w:rsidR="00D53C3B" w:rsidRPr="00315C32" w:rsidRDefault="00D53C3B" w:rsidP="003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публичного раскрытия на официальном сайте комитета </w:t>
      </w:r>
      <w:r w:rsidR="00034D61"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округа «Город Чита» </w:t>
      </w:r>
    </w:p>
    <w:p w14:paraId="6519BC1F" w14:textId="77777777" w:rsidR="00D53C3B" w:rsidRPr="00315C32" w:rsidRDefault="00D53C3B" w:rsidP="003F026A">
      <w:pPr>
        <w:spacing w:before="120"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52E2C8" w14:textId="25AA6BC9" w:rsidR="00D53C3B" w:rsidRPr="00315C32" w:rsidRDefault="00ED7367" w:rsidP="003F026A">
      <w:pPr>
        <w:spacing w:before="120"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1-c8082797e1ee4d"/>
      <w:r w:rsidRPr="00315C32">
        <w:rPr>
          <w:rFonts w:hAnsi="Times New Roman" w:cs="Times New Roman"/>
          <w:color w:val="000000"/>
          <w:sz w:val="24"/>
          <w:szCs w:val="24"/>
        </w:rPr>
        <w:t>Единая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учетная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политика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для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централизации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казенных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автономных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15C32">
        <w:rPr>
          <w:rFonts w:hAnsi="Times New Roman" w:cs="Times New Roman"/>
          <w:color w:val="000000"/>
          <w:sz w:val="24"/>
          <w:szCs w:val="24"/>
        </w:rPr>
        <w:t>передавших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соглашениям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полномочия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муниципальному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казенному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«Централизованная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культуры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городского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округа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«Город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Чита»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Централизованная бухгалтерия)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ведению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в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4CA1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Федерального закона от 6 декабря 2011г. №402-ФЗ</w:t>
      </w:r>
      <w:r w:rsidR="00922921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бухгалтерском учете» (далее – Закон №</w:t>
      </w:r>
      <w:r w:rsidR="00857568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  <w:bookmarkEnd w:id="0"/>
    </w:p>
    <w:p w14:paraId="31D2CD40" w14:textId="77777777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Инструкции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Единому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плану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157н);</w:t>
      </w:r>
    </w:p>
    <w:p w14:paraId="7F18EBBC" w14:textId="77777777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162н);</w:t>
      </w:r>
    </w:p>
    <w:p w14:paraId="7A18832E" w14:textId="339F7978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16.12.2010 № 174н «Об утверждении Плана счетов бухгалтерского учета бюджетных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174н);</w:t>
      </w:r>
    </w:p>
    <w:p w14:paraId="0803B60E" w14:textId="49E7583C" w:rsidR="00750DBD" w:rsidRPr="00315C32" w:rsidRDefault="00750DBD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183н)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6D6D88" w14:textId="77777777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160FAA97" w14:textId="77777777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33D9C85F" w14:textId="2D828F66" w:rsidR="0071493E" w:rsidRPr="0071493E" w:rsidRDefault="00924CA1" w:rsidP="003F026A">
      <w:pPr>
        <w:numPr>
          <w:ilvl w:val="0"/>
          <w:numId w:val="6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приказ № 52н)</w:t>
      </w:r>
      <w:r w:rsidR="0071493E" w:rsidRPr="0071493E">
        <w:t xml:space="preserve"> </w:t>
      </w:r>
      <w:r w:rsidR="0071493E" w:rsidRPr="0071493E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изм. от 15.06.2020г.) (далее – приказ № 52н);</w:t>
      </w:r>
    </w:p>
    <w:p w14:paraId="72100E76" w14:textId="3A20C528" w:rsidR="00924CA1" w:rsidRPr="00315C32" w:rsidRDefault="0071493E" w:rsidP="003F026A">
      <w:pPr>
        <w:numPr>
          <w:ilvl w:val="0"/>
          <w:numId w:val="6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(с </w:t>
      </w:r>
      <w:proofErr w:type="spellStart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№142н </w:t>
      </w:r>
      <w:proofErr w:type="spellStart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30.09.2021г., №100н </w:t>
      </w:r>
      <w:proofErr w:type="spellStart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714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28.07.2022г.);</w:t>
      </w:r>
    </w:p>
    <w:p w14:paraId="6D07BA21" w14:textId="77777777" w:rsidR="00924CA1" w:rsidRPr="00315C32" w:rsidRDefault="00924CA1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№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СГС «Долгосрочные договоры»), от 15.11.2019 № 181н, № 182н, № 183н, № 184н (далее – соответственно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«Нематериальные активы», СГС «Затраты по заимствованиям», «Совместная деятельность»,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«Выплаты персоналу»),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30.06.2020 № 129н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341D8B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– СГС «Финансовые инструменты»);</w:t>
      </w:r>
    </w:p>
    <w:p w14:paraId="2BB50DEB" w14:textId="0C4925F0" w:rsidR="008C1924" w:rsidRPr="00315C32" w:rsidRDefault="00341D8B" w:rsidP="003F026A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документами </w:t>
      </w:r>
      <w:r w:rsidR="000807B1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учетной политики </w:t>
      </w:r>
      <w:r w:rsidR="00DE5E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централизованного бухгалтерского учета 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регулирующими вопросы организации ведения бу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хгалтерского (бюджетного) учета, включая ежегодные приказы муниципальных казенных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автономных 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«О проведении инвентаризации </w:t>
      </w:r>
      <w:r w:rsidR="00196F6A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активов и обязательств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64F5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BAE0C" w14:textId="3DA6D1E4" w:rsidR="006E64F5" w:rsidRPr="00315C32" w:rsidRDefault="006E64F5" w:rsidP="003F026A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Особенности (способы) ведения учета</w:t>
      </w:r>
    </w:p>
    <w:p w14:paraId="43CEF8B6" w14:textId="77777777" w:rsidR="00315C32" w:rsidRPr="00315C32" w:rsidRDefault="00315C32" w:rsidP="003F026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883F154" w14:textId="2DAE53EE" w:rsidR="005F44A9" w:rsidRPr="00315C32" w:rsidRDefault="005F44A9" w:rsidP="003F026A">
      <w:pPr>
        <w:pStyle w:val="ConsPlusNormal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Рабочий план счетов бухгалтерского (бюджетного) учета в Учреждениях разработан в соответствии с Инструкциями №157н 162н, 174н, 183н (Приложение к Единой учетной политике №1).</w:t>
      </w:r>
    </w:p>
    <w:p w14:paraId="793F6ABA" w14:textId="56E32158" w:rsidR="008855D3" w:rsidRPr="00315C32" w:rsidRDefault="005F44A9" w:rsidP="003F026A">
      <w:pPr>
        <w:pStyle w:val="a6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П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</w:t>
      </w:r>
      <w:r w:rsidR="00351EA4" w:rsidRPr="00315C32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351EA4" w:rsidRPr="00315C32">
        <w:rPr>
          <w:rFonts w:ascii="Times New Roman" w:hAnsi="Times New Roman" w:cs="Times New Roman"/>
          <w:noProof/>
          <w:sz w:val="24"/>
          <w:szCs w:val="24"/>
        </w:rPr>
        <w:t>унифицированные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документов, </w:t>
      </w:r>
      <w:r w:rsidR="00BD11B7" w:rsidRPr="00315C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315C32">
        <w:rPr>
          <w:rFonts w:ascii="Times New Roman" w:hAnsi="Times New Roman" w:cs="Times New Roman"/>
          <w:sz w:val="24"/>
          <w:szCs w:val="24"/>
        </w:rPr>
        <w:t>п</w:t>
      </w:r>
      <w:r w:rsidR="00CE60A5" w:rsidRPr="00315C32">
        <w:rPr>
          <w:rFonts w:ascii="Times New Roman" w:hAnsi="Times New Roman" w:cs="Times New Roman"/>
          <w:sz w:val="24"/>
          <w:szCs w:val="24"/>
        </w:rPr>
        <w:t>риказ</w:t>
      </w:r>
      <w:r w:rsidR="0071493E">
        <w:rPr>
          <w:rFonts w:ascii="Times New Roman" w:hAnsi="Times New Roman" w:cs="Times New Roman"/>
          <w:sz w:val="24"/>
          <w:szCs w:val="24"/>
        </w:rPr>
        <w:t>ами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 Минфина России </w:t>
      </w:r>
      <w:hyperlink r:id="rId5" w:history="1">
        <w:r w:rsidR="00CE60A5" w:rsidRPr="00315C32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71493E">
        <w:rPr>
          <w:rFonts w:ascii="Times New Roman" w:hAnsi="Times New Roman" w:cs="Times New Roman"/>
          <w:sz w:val="24"/>
          <w:szCs w:val="24"/>
        </w:rPr>
        <w:t xml:space="preserve">, 61н </w:t>
      </w:r>
      <w:r w:rsidR="00762B15" w:rsidRPr="00315C32">
        <w:rPr>
          <w:rFonts w:ascii="Times New Roman" w:hAnsi="Times New Roman" w:cs="Times New Roman"/>
          <w:sz w:val="24"/>
          <w:szCs w:val="24"/>
        </w:rPr>
        <w:t>(Приложение к Единой учетной политике №3).</w:t>
      </w:r>
    </w:p>
    <w:p w14:paraId="10EE4A2C" w14:textId="1692D5D4" w:rsidR="0026163B" w:rsidRPr="00315C32" w:rsidRDefault="00A20464" w:rsidP="003F026A">
      <w:pPr>
        <w:pStyle w:val="a6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l453"/>
      <w:bookmarkEnd w:id="1"/>
      <w:r w:rsidRPr="00315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4A9" w:rsidRPr="00315C32">
        <w:rPr>
          <w:rFonts w:ascii="Times New Roman" w:hAnsi="Times New Roman" w:cs="Times New Roman"/>
          <w:noProof/>
          <w:sz w:val="24"/>
          <w:szCs w:val="24"/>
        </w:rPr>
        <w:t>П</w:t>
      </w:r>
      <w:r w:rsidR="008855D3" w:rsidRPr="00315C32">
        <w:rPr>
          <w:rFonts w:ascii="Times New Roman" w:hAnsi="Times New Roman" w:cs="Times New Roman"/>
          <w:sz w:val="24"/>
          <w:szCs w:val="24"/>
        </w:rPr>
        <w:t>р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и оформлении фактов хозяйственной жизни, по которым не </w:t>
      </w:r>
      <w:r w:rsidR="00351EA4" w:rsidRPr="00315C32">
        <w:rPr>
          <w:rFonts w:ascii="Times New Roman" w:hAnsi="Times New Roman" w:cs="Times New Roman"/>
          <w:sz w:val="24"/>
          <w:szCs w:val="24"/>
        </w:rPr>
        <w:t>предусмотрены типовые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</w:t>
      </w:r>
      <w:r w:rsidR="00590C71" w:rsidRPr="00315C32">
        <w:rPr>
          <w:rFonts w:ascii="Times New Roman" w:hAnsi="Times New Roman" w:cs="Times New Roman"/>
          <w:sz w:val="24"/>
          <w:szCs w:val="24"/>
        </w:rPr>
        <w:t>,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753543" w:rsidRPr="00315C32">
        <w:rPr>
          <w:rFonts w:ascii="Times New Roman" w:hAnsi="Times New Roman" w:cs="Times New Roman"/>
          <w:sz w:val="24"/>
          <w:szCs w:val="24"/>
        </w:rPr>
        <w:t>самостоятельно разработанные формы документов, содержащие обязательные реквизиты</w:t>
      </w:r>
      <w:r w:rsidR="00BD11B7" w:rsidRPr="00315C32">
        <w:rPr>
          <w:rFonts w:ascii="Times New Roman" w:hAnsi="Times New Roman" w:cs="Times New Roman"/>
          <w:sz w:val="24"/>
          <w:szCs w:val="24"/>
        </w:rPr>
        <w:t>, указанные в Законе №402-ФЗ, СГС «Концептуальные основы»</w:t>
      </w:r>
      <w:r w:rsidR="00544A0D" w:rsidRPr="00315C32">
        <w:rPr>
          <w:rFonts w:ascii="Times New Roman" w:hAnsi="Times New Roman" w:cs="Times New Roman"/>
          <w:sz w:val="24"/>
          <w:szCs w:val="24"/>
        </w:rPr>
        <w:t xml:space="preserve"> (Приложение к Единой учетной политике №</w:t>
      </w:r>
      <w:r w:rsidR="00762B15" w:rsidRPr="00315C32">
        <w:rPr>
          <w:rFonts w:ascii="Times New Roman" w:hAnsi="Times New Roman" w:cs="Times New Roman"/>
          <w:sz w:val="24"/>
          <w:szCs w:val="24"/>
        </w:rPr>
        <w:t>4</w:t>
      </w:r>
      <w:r w:rsidR="00544A0D" w:rsidRPr="00315C32">
        <w:rPr>
          <w:rFonts w:ascii="Times New Roman" w:hAnsi="Times New Roman" w:cs="Times New Roman"/>
          <w:sz w:val="24"/>
          <w:szCs w:val="24"/>
        </w:rPr>
        <w:t>)</w:t>
      </w:r>
      <w:r w:rsidR="00BD11B7" w:rsidRPr="00315C32">
        <w:rPr>
          <w:rFonts w:ascii="Times New Roman" w:hAnsi="Times New Roman" w:cs="Times New Roman"/>
          <w:sz w:val="24"/>
          <w:szCs w:val="24"/>
        </w:rPr>
        <w:t>;</w:t>
      </w:r>
    </w:p>
    <w:p w14:paraId="593384B8" w14:textId="77777777" w:rsidR="005F1D73" w:rsidRPr="009B011F" w:rsidRDefault="005F1D73" w:rsidP="003F026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"1С: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для бюджетных учреждений", "1С: Предприятие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синтетического и аналитического учета формируются в базах данных "1С: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77F08" w14:textId="77777777" w:rsidR="005F1D73" w:rsidRPr="009B011F" w:rsidRDefault="005F1D73" w:rsidP="003F026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Первичные учетные документы, поступившие по результатам внутреннего контроля совершаемых фактов хозяйственной жизни, принимаются к учету для регистрации в регистрах бухгалтерского 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документы, и регистрируются, систематизируются и накапливаются в регистрах бухгалтерского учета, формы которых утверждены Приказом </w:t>
      </w:r>
      <w:hyperlink r:id="rId6" w:history="1">
        <w:r w:rsidRPr="009B01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52н</w:t>
        </w:r>
      </w:hyperlink>
      <w:r w:rsidRPr="009B0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61н </w:t>
      </w:r>
      <w:r w:rsidRPr="009B011F">
        <w:rPr>
          <w:rFonts w:ascii="Times New Roman" w:hAnsi="Times New Roman" w:cs="Times New Roman"/>
          <w:sz w:val="24"/>
          <w:szCs w:val="24"/>
        </w:rPr>
        <w:t>(Приложение к учетной политике №3)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5116DF" w14:textId="77777777" w:rsidR="005F1D73" w:rsidRPr="009B011F" w:rsidRDefault="005F1D73" w:rsidP="003F026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Регистры бухгалтерского учета оформляются на бумажных носителях и (или) на машинных носителях (в виде электронного документа), и распечатываются не позднее </w:t>
      </w:r>
      <w:r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14:paraId="40E72EFF" w14:textId="77777777" w:rsidR="005F1D73" w:rsidRPr="009B011F" w:rsidRDefault="005F1D73" w:rsidP="003F026A">
      <w:pPr>
        <w:tabs>
          <w:tab w:val="num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7. </w:t>
      </w:r>
      <w:r w:rsidRPr="009B01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0002B925" w14:textId="77777777" w:rsidR="005F1D73" w:rsidRPr="009B011F" w:rsidRDefault="005F1D73" w:rsidP="003F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9B011F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ведется с использованием 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14:paraId="03855F04" w14:textId="77777777" w:rsidR="005F1D73" w:rsidRPr="009B011F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комитетом по финансам администрации городского округа «Город Чита» (защищенная система АЦК-финансы);</w:t>
      </w:r>
    </w:p>
    <w:p w14:paraId="2E9AD421" w14:textId="5A68E974" w:rsidR="005F1D73" w:rsidRPr="009B011F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система внутреннего электронного документооборота посредством программы 1С: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- «Бухгалтерия государственного учреждения»</w:t>
      </w:r>
      <w:r w:rsidRPr="009B011F">
        <w:rPr>
          <w:rFonts w:ascii="Times New Roman" w:hAnsi="Times New Roman" w:cs="Times New Roman"/>
          <w:sz w:val="24"/>
          <w:szCs w:val="24"/>
        </w:rPr>
        <w:t xml:space="preserve"> в соответствии с графиком документооборота;</w:t>
      </w:r>
    </w:p>
    <w:p w14:paraId="04C8B5BA" w14:textId="77777777" w:rsidR="005F1D73" w:rsidRPr="009B011F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система электронного документооборота с УФ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011F">
        <w:rPr>
          <w:rFonts w:ascii="Times New Roman" w:hAnsi="Times New Roman" w:cs="Times New Roman"/>
          <w:sz w:val="24"/>
          <w:szCs w:val="24"/>
        </w:rPr>
        <w:t xml:space="preserve"> России по Забайкальскому краю (защищенная информационная система "СУФД"); </w:t>
      </w:r>
    </w:p>
    <w:p w14:paraId="22F062BC" w14:textId="77777777" w:rsidR="005F1D73" w:rsidRPr="009B011F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передача бухгалтерской отчетности комитету культуры, комитету физической культуры и спорта администрации городского округа «Город Чита» (программный комплекс "Свод-Смарт");</w:t>
      </w:r>
    </w:p>
    <w:p w14:paraId="7B0888AE" w14:textId="77777777" w:rsidR="005F1D73" w:rsidRPr="009B011F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обмен информацией и передача отчетности по налогам, сборам и иным обязательным платежам в УФНС России по Забайкальскому краю, в Отделение Пенсионного фонда РФ по Забайкальскому краю, в Забайкальское региональное отделение Фонда социального страхования РФ, в территориальный орган Федеральной службы государственной статистики РФ по Забайкальскому краю (защищенная информационная система «Контур-Экстерн»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программный продукт 1С: Предприятие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17078DE" w14:textId="77777777" w:rsidR="005F1D73" w:rsidRDefault="005F1D73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безналичное зачисления на пластиковые карты работников учреждения заработной платы и иных выплат в Читинское Отделение №8600 ПАО Сбербанк г. Чита (программный продукт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"1С: Предприятие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6E046A" w14:textId="0F1FEF3A" w:rsidR="0071493E" w:rsidRDefault="0071493E" w:rsidP="003F026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93E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централизованной бухгалтерии с обслуживаемыми учреждениями осуществляется посредством программы </w:t>
      </w:r>
      <w:r w:rsidR="00014CA3" w:rsidRPr="00014CA3">
        <w:rPr>
          <w:rFonts w:ascii="Times New Roman" w:hAnsi="Times New Roman" w:cs="Times New Roman"/>
          <w:sz w:val="24"/>
          <w:szCs w:val="24"/>
        </w:rPr>
        <w:t xml:space="preserve">«Бухгалтерия государственного учреждения» </w:t>
      </w:r>
      <w:r w:rsidRPr="0071493E">
        <w:rPr>
          <w:rFonts w:ascii="Times New Roman" w:hAnsi="Times New Roman" w:cs="Times New Roman"/>
          <w:sz w:val="24"/>
          <w:szCs w:val="24"/>
        </w:rPr>
        <w:t>в соответствии с графиком документооборота.</w:t>
      </w:r>
    </w:p>
    <w:p w14:paraId="456D6320" w14:textId="77777777" w:rsidR="00A41C32" w:rsidRPr="00A41C32" w:rsidRDefault="00A41C32" w:rsidP="003F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32">
        <w:rPr>
          <w:rFonts w:ascii="Times New Roman" w:hAnsi="Times New Roman" w:cs="Times New Roman"/>
          <w:sz w:val="24"/>
          <w:szCs w:val="24"/>
        </w:rPr>
        <w:t xml:space="preserve">     Все электронные документы, пересылаемые по системам электронного документооборота (кроме отчетности, сформированной в программном комплексе «Свод-Смарт», подписываются усиленной квалифицированной электронной цифровой подписью (ЭЦП).</w:t>
      </w:r>
    </w:p>
    <w:p w14:paraId="73381760" w14:textId="77777777" w:rsidR="00A41C32" w:rsidRDefault="00A41C32" w:rsidP="003F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32">
        <w:rPr>
          <w:rFonts w:ascii="Times New Roman" w:hAnsi="Times New Roman" w:cs="Times New Roman"/>
          <w:sz w:val="24"/>
          <w:szCs w:val="24"/>
        </w:rPr>
        <w:t xml:space="preserve">    До принятия порядка организации государственного архивного дела РФ по хранению электронных документов, документы, составляемые в электронном виде и подписанные ЭЦП, хранятся сервере МКУ «ЦБ УК» и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Федерации.</w:t>
      </w:r>
    </w:p>
    <w:p w14:paraId="2B26D1CD" w14:textId="7A3B600E" w:rsidR="002D1B3B" w:rsidRDefault="00183155" w:rsidP="003F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B3B" w:rsidRPr="00315C32">
        <w:rPr>
          <w:rFonts w:ascii="Times New Roman" w:hAnsi="Times New Roman" w:cs="Times New Roman"/>
          <w:sz w:val="24"/>
          <w:szCs w:val="24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3B8CF908" w14:textId="322CB04F" w:rsidR="00831366" w:rsidRPr="00315C32" w:rsidRDefault="0085716F" w:rsidP="003F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55">
        <w:rPr>
          <w:rFonts w:ascii="Times New Roman" w:hAnsi="Times New Roman" w:cs="Times New Roman"/>
          <w:sz w:val="24"/>
          <w:szCs w:val="24"/>
        </w:rPr>
        <w:t>9</w:t>
      </w:r>
      <w:r w:rsidR="00D442B5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A0D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Учреждений и Централизованной бухгалтерии в части документооборота по передаче сформированных первичных (сводных) учетных документов определен в </w:t>
      </w:r>
      <w:r w:rsidR="00351EA4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</w:t>
      </w:r>
      <w:r w:rsidR="00544A0D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учетной политике N</w:t>
      </w:r>
      <w:r w:rsidR="00AB3431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A0D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CD4BB" w14:textId="4BCD5304" w:rsidR="000B09DB" w:rsidRPr="00315C32" w:rsidRDefault="00AB3431" w:rsidP="003F02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0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315C32">
        <w:rPr>
          <w:rFonts w:ascii="Times New Roman" w:hAnsi="Times New Roman" w:cs="Times New Roman"/>
          <w:sz w:val="24"/>
          <w:szCs w:val="24"/>
        </w:rPr>
        <w:t>П</w:t>
      </w:r>
      <w:r w:rsidR="000B09DB" w:rsidRPr="00315C32">
        <w:rPr>
          <w:rFonts w:ascii="Times New Roman" w:hAnsi="Times New Roman" w:cs="Times New Roman"/>
          <w:sz w:val="24"/>
          <w:szCs w:val="24"/>
        </w:rPr>
        <w:t>ри отсутствии типовых корреспонденций счетов бухгалтерского (бюджетного) учета Централизованная бухгалтерия реализует право определять необходимую корреспонденцию счетов в части, не противоречащей нормативным правовым актам, регулирующим ведение бухгалтерского (бюджетного) учета и составления бухгалтерской (бюджетной)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11A11" w:rsidRPr="00315C32">
        <w:rPr>
          <w:rFonts w:ascii="Times New Roman" w:hAnsi="Times New Roman" w:cs="Times New Roman"/>
          <w:sz w:val="24"/>
          <w:szCs w:val="24"/>
        </w:rPr>
        <w:t>.</w:t>
      </w:r>
      <w:r w:rsidR="000B09DB" w:rsidRPr="0031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671C" w14:textId="7897DDBD" w:rsidR="001A2200" w:rsidRPr="00315C32" w:rsidRDefault="00AB3431" w:rsidP="003F026A">
      <w:pPr>
        <w:pStyle w:val="a6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1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забалансовых счетах, обязательств, иных объектов бухгалтерского учета </w:t>
      </w:r>
      <w:r w:rsidR="00433B42" w:rsidRPr="00315C32">
        <w:rPr>
          <w:rFonts w:ascii="Times New Roman" w:hAnsi="Times New Roman" w:cs="Times New Roman"/>
          <w:sz w:val="24"/>
          <w:szCs w:val="24"/>
        </w:rPr>
        <w:t>в учреждениях осуществляется постоянно действующей комиссией</w:t>
      </w:r>
      <w:r w:rsidR="00831366" w:rsidRPr="00315C32">
        <w:rPr>
          <w:rFonts w:ascii="Times New Roman" w:hAnsi="Times New Roman" w:cs="Times New Roman"/>
          <w:sz w:val="24"/>
          <w:szCs w:val="24"/>
        </w:rPr>
        <w:t>, утвержденной отдельным</w:t>
      </w:r>
      <w:r w:rsidR="00433B42" w:rsidRPr="00315C32"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  <w:r w:rsidR="00C74D37" w:rsidRPr="00315C32">
        <w:rPr>
          <w:sz w:val="24"/>
          <w:szCs w:val="24"/>
        </w:rPr>
        <w:t xml:space="preserve"> </w:t>
      </w:r>
      <w:r w:rsidR="00C74D37" w:rsidRPr="00315C32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устанавливается учреждениями. Участие сотрудников централизованных бухгалтерий в инвентаризационных комиссиях не </w:t>
      </w:r>
      <w:r w:rsidR="00C74D37" w:rsidRPr="00315C32">
        <w:rPr>
          <w:rFonts w:ascii="Times New Roman" w:hAnsi="Times New Roman" w:cs="Times New Roman"/>
          <w:sz w:val="24"/>
          <w:szCs w:val="24"/>
        </w:rPr>
        <w:lastRenderedPageBreak/>
        <w:t xml:space="preserve">требуется. Результаты инвентаризации учреждения передают в централизованную бухгалтерию в соответствии с графиком документооборота – приложение №2 к </w:t>
      </w:r>
      <w:r w:rsidR="001A2200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C74D37" w:rsidRPr="00315C32">
        <w:rPr>
          <w:rFonts w:ascii="Times New Roman" w:hAnsi="Times New Roman" w:cs="Times New Roman"/>
          <w:sz w:val="24"/>
          <w:szCs w:val="24"/>
        </w:rPr>
        <w:t>учетной политике.</w:t>
      </w:r>
      <w:r w:rsidR="00433B42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1A2200" w:rsidRPr="001A2200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бухгалтерской отчетности </w:t>
      </w:r>
      <w:r w:rsidR="001A2200" w:rsidRPr="00315C32">
        <w:rPr>
          <w:rFonts w:ascii="Times New Roman" w:hAnsi="Times New Roman" w:cs="Times New Roman"/>
          <w:sz w:val="24"/>
          <w:szCs w:val="24"/>
        </w:rPr>
        <w:t>признаются результаты инвентаризации, проведенной не ранее 1 октября текущего года.</w:t>
      </w:r>
    </w:p>
    <w:p w14:paraId="0C4A83BA" w14:textId="4A6F0E4B" w:rsidR="00ED0B31" w:rsidRPr="00315C32" w:rsidRDefault="00AB3431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2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315C32">
        <w:rPr>
          <w:rFonts w:ascii="Times New Roman" w:hAnsi="Times New Roman" w:cs="Times New Roman"/>
          <w:sz w:val="24"/>
          <w:szCs w:val="24"/>
        </w:rPr>
        <w:t>С</w:t>
      </w:r>
      <w:r w:rsidR="00A26D08" w:rsidRPr="00315C32">
        <w:rPr>
          <w:rFonts w:ascii="Times New Roman" w:hAnsi="Times New Roman" w:cs="Times New Roman"/>
          <w:sz w:val="24"/>
          <w:szCs w:val="24"/>
        </w:rPr>
        <w:t>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</w:p>
    <w:p w14:paraId="43CF3546" w14:textId="65E240C0" w:rsidR="00AB3431" w:rsidRPr="00315C32" w:rsidRDefault="00AB3431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3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315C32">
        <w:rPr>
          <w:rFonts w:ascii="Times New Roman" w:hAnsi="Times New Roman" w:cs="Times New Roman"/>
          <w:sz w:val="24"/>
          <w:szCs w:val="24"/>
        </w:rPr>
        <w:t>Н</w:t>
      </w:r>
      <w:r w:rsidR="00A26D08" w:rsidRPr="00315C32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средств производится линейным методом</w:t>
      </w:r>
      <w:r w:rsidR="00831366" w:rsidRPr="00315C32">
        <w:rPr>
          <w:rFonts w:ascii="Times New Roman" w:hAnsi="Times New Roman" w:cs="Times New Roman"/>
          <w:sz w:val="24"/>
          <w:szCs w:val="24"/>
        </w:rPr>
        <w:t>.</w:t>
      </w:r>
    </w:p>
    <w:p w14:paraId="4F0ACBC2" w14:textId="70DCDD36" w:rsidR="005C27AB" w:rsidRPr="00315C32" w:rsidRDefault="00AB3431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4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0D66EB" w:rsidRPr="00315C32">
        <w:rPr>
          <w:rFonts w:ascii="Times New Roman" w:hAnsi="Times New Roman" w:cs="Times New Roman"/>
          <w:sz w:val="24"/>
          <w:szCs w:val="24"/>
        </w:rPr>
        <w:t>С</w:t>
      </w:r>
      <w:r w:rsidR="00A26D08" w:rsidRPr="00315C32">
        <w:rPr>
          <w:rFonts w:ascii="Times New Roman" w:hAnsi="Times New Roman" w:cs="Times New Roman"/>
          <w:sz w:val="24"/>
          <w:szCs w:val="24"/>
        </w:rPr>
        <w:t>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</w:t>
      </w:r>
      <w:r w:rsidR="005C27AB" w:rsidRPr="00315C32">
        <w:rPr>
          <w:rFonts w:ascii="Times New Roman" w:hAnsi="Times New Roman" w:cs="Times New Roman"/>
          <w:sz w:val="24"/>
          <w:szCs w:val="24"/>
        </w:rPr>
        <w:t>ении федерального стандарта бюджетного учета для организаций государственного сектора «События после отчетной даты»</w:t>
      </w:r>
      <w:r w:rsidR="000D66EB"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315C32">
        <w:rPr>
          <w:rFonts w:ascii="Times New Roman" w:hAnsi="Times New Roman" w:cs="Times New Roman"/>
          <w:sz w:val="24"/>
          <w:szCs w:val="24"/>
        </w:rPr>
        <w:t>С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обытие после отчетной даты признаются существенным, в случае, когда информация, раскрываемая в бухгалтерской (бюджетной) отчетности </w:t>
      </w:r>
      <w:r w:rsidR="00315C32" w:rsidRPr="00315C32">
        <w:rPr>
          <w:rFonts w:ascii="Times New Roman" w:hAnsi="Times New Roman" w:cs="Times New Roman"/>
          <w:sz w:val="24"/>
          <w:szCs w:val="24"/>
        </w:rPr>
        <w:t>о нем,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 является существенной информацией</w:t>
      </w:r>
      <w:r w:rsidR="00831366" w:rsidRPr="00315C32">
        <w:rPr>
          <w:rFonts w:ascii="Times New Roman" w:hAnsi="Times New Roman" w:cs="Times New Roman"/>
          <w:sz w:val="24"/>
          <w:szCs w:val="24"/>
        </w:rPr>
        <w:t>.</w:t>
      </w:r>
    </w:p>
    <w:p w14:paraId="08EF65D3" w14:textId="1F8FF319" w:rsidR="000D66EB" w:rsidRPr="00315C32" w:rsidRDefault="001F7F7B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15C32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Факт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жизни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признается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существенным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если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без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знания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нем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пользователи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отчетности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могут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достоверно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оценить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финансовое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состояние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движение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денежных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средств или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результаты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учреждения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Оценивает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существенность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влияний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и квалифицирует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как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после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отчетной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даты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главный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бухгалтер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бухгалтерии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на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основе своего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суждения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.</w:t>
      </w:r>
    </w:p>
    <w:p w14:paraId="7B5C6BD1" w14:textId="21A177BF" w:rsidR="003A21E0" w:rsidRPr="003A21E0" w:rsidRDefault="000D66EB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5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В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учреждениях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формируются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следующие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резервы</w:t>
      </w:r>
      <w:r w:rsidR="003A21E0" w:rsidRPr="003A21E0">
        <w:rPr>
          <w:rFonts w:hAnsi="Times New Roman" w:cs="Times New Roman"/>
          <w:color w:val="000000"/>
          <w:sz w:val="24"/>
          <w:szCs w:val="24"/>
        </w:rPr>
        <w:t>:</w:t>
      </w:r>
    </w:p>
    <w:p w14:paraId="23A128AA" w14:textId="77777777" w:rsidR="003A21E0" w:rsidRPr="003A21E0" w:rsidRDefault="003A21E0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A21E0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A21E0">
        <w:rPr>
          <w:rFonts w:hAnsi="Times New Roman" w:cs="Times New Roman"/>
          <w:color w:val="000000"/>
          <w:sz w:val="24"/>
          <w:szCs w:val="24"/>
        </w:rPr>
        <w:t>на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оплату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отпусков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за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фактически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отработанное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ими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время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на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дату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расчета</w:t>
      </w:r>
      <w:r w:rsidRPr="003A21E0">
        <w:rPr>
          <w:rFonts w:hAnsi="Times New Roman" w:cs="Times New Roman"/>
          <w:color w:val="000000"/>
          <w:sz w:val="24"/>
          <w:szCs w:val="24"/>
        </w:rPr>
        <w:t>;</w:t>
      </w:r>
    </w:p>
    <w:p w14:paraId="78A1BF6C" w14:textId="5BA28F56" w:rsidR="003A21E0" w:rsidRPr="003A21E0" w:rsidRDefault="003A21E0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A21E0">
        <w:rPr>
          <w:rFonts w:hAnsi="Times New Roman" w:cs="Times New Roman"/>
          <w:color w:val="000000"/>
          <w:sz w:val="24"/>
          <w:szCs w:val="24"/>
        </w:rPr>
        <w:t xml:space="preserve">- </w:t>
      </w:r>
      <w:bookmarkStart w:id="2" w:name="_Hlk121749646"/>
      <w:r w:rsidRPr="003A21E0">
        <w:rPr>
          <w:rFonts w:ascii="Times New Roman" w:hAnsi="Times New Roman" w:cs="Times New Roman"/>
          <w:color w:val="000000"/>
          <w:sz w:val="24"/>
          <w:szCs w:val="24"/>
        </w:rPr>
        <w:t>на начисления на выплаты по оплате труда (страховые взносы);</w:t>
      </w:r>
      <w:bookmarkEnd w:id="2"/>
    </w:p>
    <w:p w14:paraId="70397EE1" w14:textId="77777777" w:rsidR="003A21E0" w:rsidRPr="003A21E0" w:rsidRDefault="003A21E0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A21E0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A21E0">
        <w:rPr>
          <w:rFonts w:hAnsi="Times New Roman" w:cs="Times New Roman"/>
          <w:color w:val="000000"/>
          <w:sz w:val="24"/>
          <w:szCs w:val="24"/>
        </w:rPr>
        <w:t>резерв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на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оплату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21E0">
        <w:rPr>
          <w:rFonts w:hAnsi="Times New Roman" w:cs="Times New Roman"/>
          <w:color w:val="000000"/>
          <w:sz w:val="24"/>
          <w:szCs w:val="24"/>
        </w:rPr>
        <w:t>по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которым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не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поступили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расчетные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документы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A21E0">
        <w:rPr>
          <w:rFonts w:hAnsi="Times New Roman" w:cs="Times New Roman"/>
          <w:color w:val="000000"/>
          <w:sz w:val="24"/>
          <w:szCs w:val="24"/>
        </w:rPr>
        <w:t>или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A21E0">
        <w:rPr>
          <w:rFonts w:ascii="Times New Roman" w:hAnsi="Times New Roman" w:cs="Times New Roman"/>
          <w:color w:val="000000"/>
          <w:sz w:val="24"/>
          <w:szCs w:val="24"/>
        </w:rPr>
        <w:t>не оформлена окончательная приемка товаров, работ, услуг;</w:t>
      </w:r>
    </w:p>
    <w:p w14:paraId="68C56643" w14:textId="77777777" w:rsidR="003A21E0" w:rsidRPr="003A21E0" w:rsidRDefault="003A21E0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A21E0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A21E0">
        <w:rPr>
          <w:rFonts w:hAnsi="Times New Roman" w:cs="Times New Roman"/>
          <w:color w:val="000000"/>
          <w:sz w:val="24"/>
          <w:szCs w:val="24"/>
        </w:rPr>
        <w:t>по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претензионным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искам</w:t>
      </w:r>
      <w:r w:rsidRPr="003A21E0">
        <w:rPr>
          <w:rFonts w:hAnsi="Times New Roman" w:cs="Times New Roman"/>
          <w:color w:val="000000"/>
          <w:sz w:val="24"/>
          <w:szCs w:val="24"/>
        </w:rPr>
        <w:t>.</w:t>
      </w:r>
    </w:p>
    <w:p w14:paraId="63F21D29" w14:textId="77777777" w:rsidR="003F026A" w:rsidRDefault="003A21E0" w:rsidP="003F026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A21E0">
        <w:rPr>
          <w:rFonts w:hAnsi="Times New Roman" w:cs="Times New Roman"/>
          <w:color w:val="000000"/>
          <w:sz w:val="24"/>
          <w:szCs w:val="24"/>
        </w:rPr>
        <w:t>Порядок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резервов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предстоящих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расходов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определен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в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ascii="Times New Roman" w:hAnsi="Times New Roman" w:cs="Times New Roman"/>
          <w:color w:val="000000"/>
          <w:sz w:val="24"/>
          <w:szCs w:val="24"/>
        </w:rPr>
        <w:t>№13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учетной</w:t>
      </w:r>
      <w:r w:rsidRPr="003A21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21E0">
        <w:rPr>
          <w:rFonts w:hAnsi="Times New Roman" w:cs="Times New Roman"/>
          <w:color w:val="000000"/>
          <w:sz w:val="24"/>
          <w:szCs w:val="24"/>
        </w:rPr>
        <w:t>политики</w:t>
      </w:r>
      <w:r w:rsidRPr="003A21E0">
        <w:rPr>
          <w:rFonts w:hAnsi="Times New Roman" w:cs="Times New Roman"/>
          <w:color w:val="000000"/>
          <w:sz w:val="24"/>
          <w:szCs w:val="24"/>
        </w:rPr>
        <w:t>.</w:t>
      </w:r>
    </w:p>
    <w:p w14:paraId="3532AF35" w14:textId="76603585" w:rsidR="00F4386C" w:rsidRPr="00315C32" w:rsidRDefault="00F4386C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6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3F026A" w:rsidRPr="003F026A">
        <w:rPr>
          <w:rFonts w:ascii="Times New Roman" w:hAnsi="Times New Roman" w:cs="Times New Roman"/>
          <w:sz w:val="24"/>
          <w:szCs w:val="24"/>
        </w:rPr>
        <w:t>Процедуры</w:t>
      </w:r>
      <w:r w:rsidR="003F026A" w:rsidRPr="003F026A">
        <w:rPr>
          <w:rFonts w:ascii="Times New Roman" w:hAnsi="Times New Roman" w:cs="Times New Roman"/>
          <w:sz w:val="24"/>
          <w:szCs w:val="24"/>
        </w:rPr>
        <w:t xml:space="preserve"> </w:t>
      </w:r>
      <w:r w:rsidR="003F026A" w:rsidRPr="003F026A">
        <w:rPr>
          <w:rFonts w:ascii="Times New Roman" w:hAnsi="Times New Roman" w:cs="Times New Roman"/>
          <w:sz w:val="24"/>
          <w:szCs w:val="24"/>
        </w:rPr>
        <w:t>внутреннего централизованного финансового контроля Учреждений,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кодексом Российской Федерации, Правилами, утвержденными Постановлением Правительства РФ от 17.03.2014 N 193, ч. ч. 1, 3 ст. 9 Федерального закона от 06.12.2011 N 402-ФЗ "О бухгалтерском учете", п. п. 20, 23 Федерального стандарта "Концептуальные основы бухучета", п. 9 Федерального стандарта N 274н.</w:t>
      </w:r>
      <w:r w:rsidR="003F026A">
        <w:rPr>
          <w:rFonts w:ascii="Times New Roman" w:hAnsi="Times New Roman" w:cs="Times New Roman"/>
          <w:sz w:val="24"/>
          <w:szCs w:val="24"/>
        </w:rPr>
        <w:t xml:space="preserve"> 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и методы внутреннего финансового контроля совершаемых фактов хозяйственной деятельности, периодичность плановых мероприятий Учреждения определяются в соответствии с Порядком организации и обеспечения внутреннего финансового </w:t>
      </w:r>
      <w:r w:rsidR="00315C32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представлено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Приложение </w:t>
      </w:r>
      <w:r w:rsidR="003A21E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F026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7B6D1" w14:textId="4687F2B4" w:rsidR="005C27AB" w:rsidRPr="00315C32" w:rsidRDefault="00F4386C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183155">
        <w:rPr>
          <w:rFonts w:ascii="Times New Roman" w:hAnsi="Times New Roman" w:cs="Times New Roman"/>
          <w:sz w:val="24"/>
          <w:szCs w:val="24"/>
        </w:rPr>
        <w:t>7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0D66EB" w:rsidRPr="00315C32">
        <w:rPr>
          <w:rFonts w:ascii="Times New Roman" w:hAnsi="Times New Roman" w:cs="Times New Roman"/>
          <w:sz w:val="24"/>
          <w:szCs w:val="24"/>
        </w:rPr>
        <w:t>Б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ухгалтерская (финансовая) отчетность Учреждений составляется и представляется Централизованной бухгалтерией в сроки и в порядке, которые установлены действующим законодательством (Приказы Минфина России от 25.03.2011 </w:t>
      </w:r>
      <w:hyperlink r:id="rId7" w:history="1">
        <w:r w:rsidR="00E4118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="005C27AB" w:rsidRPr="00315C3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33н</w:t>
        </w:r>
      </w:hyperlink>
      <w:r w:rsidR="005C27A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28.12.2010 </w:t>
      </w:r>
      <w:hyperlink r:id="rId8" w:history="1">
        <w:r w:rsidR="00E4118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="005C27AB" w:rsidRPr="00315C3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191н</w:t>
        </w:r>
      </w:hyperlink>
      <w:r w:rsidR="005C27A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D2CD8" w14:textId="3B8ECFE0" w:rsidR="005C27AB" w:rsidRPr="00315C32" w:rsidRDefault="005C27AB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 </w:t>
      </w:r>
      <w:r w:rsidR="0080662B" w:rsidRPr="00315C32">
        <w:rPr>
          <w:rFonts w:ascii="Times New Roman" w:hAnsi="Times New Roman" w:cs="Times New Roman"/>
          <w:sz w:val="24"/>
          <w:szCs w:val="24"/>
        </w:rPr>
        <w:t>Консолидированная отчетность п</w:t>
      </w:r>
      <w:r w:rsidRPr="00315C32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315C3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руководителем </w:t>
      </w:r>
      <w:r w:rsidR="0080662B" w:rsidRPr="00315C32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Pr="00315C32">
        <w:rPr>
          <w:rFonts w:ascii="Times New Roman" w:hAnsi="Times New Roman" w:cs="Times New Roman"/>
          <w:sz w:val="24"/>
          <w:szCs w:val="24"/>
        </w:rPr>
        <w:t xml:space="preserve"> представляется в Комитет </w:t>
      </w:r>
      <w:r w:rsidR="0080662B" w:rsidRPr="00315C32">
        <w:rPr>
          <w:rFonts w:ascii="Times New Roman" w:hAnsi="Times New Roman" w:cs="Times New Roman"/>
          <w:sz w:val="24"/>
          <w:szCs w:val="24"/>
        </w:rPr>
        <w:t>культуры</w:t>
      </w:r>
      <w:r w:rsidRPr="00315C3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Чита"</w:t>
      </w:r>
      <w:r w:rsidR="0080662B" w:rsidRPr="00315C32">
        <w:rPr>
          <w:rFonts w:ascii="Times New Roman" w:hAnsi="Times New Roman" w:cs="Times New Roman"/>
          <w:sz w:val="24"/>
          <w:szCs w:val="24"/>
        </w:rPr>
        <w:t xml:space="preserve"> и  </w:t>
      </w:r>
      <w:r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80662B" w:rsidRPr="00315C32">
        <w:rPr>
          <w:rFonts w:ascii="Times New Roman" w:hAnsi="Times New Roman" w:cs="Times New Roman"/>
          <w:sz w:val="24"/>
          <w:szCs w:val="24"/>
        </w:rPr>
        <w:t xml:space="preserve">Комитет физической культуры и спорта администрации городского округа "Город Чита" в установленные сроки </w:t>
      </w:r>
      <w:r w:rsidRPr="00315C32">
        <w:rPr>
          <w:rFonts w:ascii="Times New Roman" w:hAnsi="Times New Roman" w:cs="Times New Roman"/>
          <w:sz w:val="24"/>
          <w:szCs w:val="24"/>
        </w:rPr>
        <w:t>на бумажных носителях и (или) по телекоммуникационным каналам связи</w:t>
      </w:r>
      <w:r w:rsidR="00F4386C" w:rsidRPr="00315C32">
        <w:rPr>
          <w:rFonts w:ascii="Times New Roman" w:hAnsi="Times New Roman" w:cs="Times New Roman"/>
          <w:sz w:val="24"/>
          <w:szCs w:val="24"/>
        </w:rPr>
        <w:t>.</w:t>
      </w:r>
      <w:r w:rsidRPr="00315C32">
        <w:rPr>
          <w:rFonts w:ascii="Times New Roman" w:hAnsi="Times New Roman" w:cs="Times New Roman"/>
          <w:sz w:val="24"/>
          <w:szCs w:val="24"/>
        </w:rPr>
        <w:t> </w:t>
      </w:r>
    </w:p>
    <w:p w14:paraId="2A020D51" w14:textId="30FDF2CF" w:rsidR="00856C5B" w:rsidRPr="00315C32" w:rsidRDefault="003410C1" w:rsidP="003F026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l457"/>
      <w:bookmarkEnd w:id="3"/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31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386C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56C5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сновные положения учетной политики Централизованной бухгалтерии применяются одновременно с иными документами Единой учетной политики, оформленными приказами Учреждения, а также положениями законодательства Российской Федерации о бухгалтерском </w:t>
      </w:r>
      <w:r w:rsidR="001F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(бюджетном) </w:t>
      </w:r>
      <w:r w:rsidR="00856C5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учете.</w:t>
      </w:r>
    </w:p>
    <w:p w14:paraId="7DCBE38D" w14:textId="5005B80F" w:rsidR="00F4386C" w:rsidRPr="00315C32" w:rsidRDefault="00183155" w:rsidP="003F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386C"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Единая учетная </w:t>
      </w:r>
      <w:r w:rsidR="00E4118F" w:rsidRPr="00315C32">
        <w:rPr>
          <w:rFonts w:ascii="Times New Roman" w:hAnsi="Times New Roman" w:cs="Times New Roman"/>
          <w:sz w:val="24"/>
          <w:szCs w:val="24"/>
        </w:rPr>
        <w:t>политика является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 обязательной для применения всеми Учреждениями, передавшими полномочия по ведению централизованного учета.</w:t>
      </w:r>
    </w:p>
    <w:p w14:paraId="292C6C0C" w14:textId="03AAC988" w:rsidR="00196F6A" w:rsidRPr="00315C32" w:rsidRDefault="004131B8" w:rsidP="003F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155">
        <w:rPr>
          <w:rFonts w:ascii="Times New Roman" w:hAnsi="Times New Roman" w:cs="Times New Roman"/>
          <w:sz w:val="24"/>
          <w:szCs w:val="24"/>
        </w:rPr>
        <w:t>0</w:t>
      </w:r>
      <w:r w:rsidR="00F4386C" w:rsidRPr="00315C32">
        <w:rPr>
          <w:rFonts w:ascii="Times New Roman" w:hAnsi="Times New Roman" w:cs="Times New Roman"/>
          <w:sz w:val="24"/>
          <w:szCs w:val="24"/>
        </w:rPr>
        <w:t>.</w:t>
      </w:r>
      <w:r w:rsidR="00F4386C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Единая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учетная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политика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применяется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года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год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К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несущественным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изменениям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учетной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политики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относятся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изменение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графика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утверждение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неунифицированных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форм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документов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другие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способы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ведения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которые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отражают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финансовое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положение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влияют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финансовый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результат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учреждения</w:t>
      </w:r>
      <w:r w:rsidR="00A2711E" w:rsidRPr="00315C32">
        <w:rPr>
          <w:rFonts w:hAnsi="Times New Roman" w:cs="Times New Roman"/>
          <w:color w:val="000000"/>
          <w:sz w:val="24"/>
          <w:szCs w:val="24"/>
        </w:rPr>
        <w:t>.</w:t>
      </w:r>
    </w:p>
    <w:p w14:paraId="2BC594B3" w14:textId="77777777" w:rsidR="00544A0D" w:rsidRPr="00315C32" w:rsidRDefault="00544A0D" w:rsidP="003F026A">
      <w:pPr>
        <w:pStyle w:val="a5"/>
        <w:tabs>
          <w:tab w:val="num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A0D" w:rsidRPr="0031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3668">
    <w:abstractNumId w:val="1"/>
  </w:num>
  <w:num w:numId="2" w16cid:durableId="565839166">
    <w:abstractNumId w:val="12"/>
  </w:num>
  <w:num w:numId="3" w16cid:durableId="1200119844">
    <w:abstractNumId w:val="8"/>
  </w:num>
  <w:num w:numId="4" w16cid:durableId="1957711086">
    <w:abstractNumId w:val="0"/>
    <w:lvlOverride w:ilvl="0">
      <w:startOverride w:val="1"/>
    </w:lvlOverride>
  </w:num>
  <w:num w:numId="5" w16cid:durableId="219826594">
    <w:abstractNumId w:val="7"/>
  </w:num>
  <w:num w:numId="6" w16cid:durableId="335111963">
    <w:abstractNumId w:val="11"/>
  </w:num>
  <w:num w:numId="7" w16cid:durableId="320235785">
    <w:abstractNumId w:val="3"/>
  </w:num>
  <w:num w:numId="8" w16cid:durableId="1631206159">
    <w:abstractNumId w:val="5"/>
  </w:num>
  <w:num w:numId="9" w16cid:durableId="1545678035">
    <w:abstractNumId w:val="4"/>
  </w:num>
  <w:num w:numId="10" w16cid:durableId="2074768575">
    <w:abstractNumId w:val="10"/>
  </w:num>
  <w:num w:numId="11" w16cid:durableId="131098652">
    <w:abstractNumId w:val="9"/>
  </w:num>
  <w:num w:numId="12" w16cid:durableId="1001280718">
    <w:abstractNumId w:val="2"/>
  </w:num>
  <w:num w:numId="13" w16cid:durableId="90131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B"/>
    <w:rsid w:val="00014CA3"/>
    <w:rsid w:val="00034D61"/>
    <w:rsid w:val="00052953"/>
    <w:rsid w:val="000807B1"/>
    <w:rsid w:val="00081FBA"/>
    <w:rsid w:val="000871D1"/>
    <w:rsid w:val="000903AC"/>
    <w:rsid w:val="0009118A"/>
    <w:rsid w:val="0009131A"/>
    <w:rsid w:val="00095732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83155"/>
    <w:rsid w:val="00196F6A"/>
    <w:rsid w:val="001A2200"/>
    <w:rsid w:val="001A56C0"/>
    <w:rsid w:val="001D1BD8"/>
    <w:rsid w:val="001E6961"/>
    <w:rsid w:val="001F750A"/>
    <w:rsid w:val="001F7F7B"/>
    <w:rsid w:val="00237F43"/>
    <w:rsid w:val="00255913"/>
    <w:rsid w:val="0026163B"/>
    <w:rsid w:val="002B4640"/>
    <w:rsid w:val="002C341C"/>
    <w:rsid w:val="002C6CF8"/>
    <w:rsid w:val="002D1B3B"/>
    <w:rsid w:val="002F36CC"/>
    <w:rsid w:val="002F5261"/>
    <w:rsid w:val="003112A7"/>
    <w:rsid w:val="00315C32"/>
    <w:rsid w:val="00327B94"/>
    <w:rsid w:val="003369ED"/>
    <w:rsid w:val="003410C1"/>
    <w:rsid w:val="00341D8B"/>
    <w:rsid w:val="0034333F"/>
    <w:rsid w:val="00343845"/>
    <w:rsid w:val="00351EA4"/>
    <w:rsid w:val="00352363"/>
    <w:rsid w:val="00391A79"/>
    <w:rsid w:val="00397F0C"/>
    <w:rsid w:val="003A09AF"/>
    <w:rsid w:val="003A21E0"/>
    <w:rsid w:val="003A632C"/>
    <w:rsid w:val="003C310A"/>
    <w:rsid w:val="003C3222"/>
    <w:rsid w:val="003D0C49"/>
    <w:rsid w:val="003F026A"/>
    <w:rsid w:val="004131B8"/>
    <w:rsid w:val="00417135"/>
    <w:rsid w:val="00433B42"/>
    <w:rsid w:val="00451D40"/>
    <w:rsid w:val="00453E83"/>
    <w:rsid w:val="004565CB"/>
    <w:rsid w:val="00481EB1"/>
    <w:rsid w:val="004A43A5"/>
    <w:rsid w:val="004A4D08"/>
    <w:rsid w:val="004B6E1E"/>
    <w:rsid w:val="004C2B19"/>
    <w:rsid w:val="004C380D"/>
    <w:rsid w:val="004D7174"/>
    <w:rsid w:val="004E496D"/>
    <w:rsid w:val="005066E8"/>
    <w:rsid w:val="00523F60"/>
    <w:rsid w:val="00544A0D"/>
    <w:rsid w:val="00564B15"/>
    <w:rsid w:val="00575990"/>
    <w:rsid w:val="00590C71"/>
    <w:rsid w:val="005B64AC"/>
    <w:rsid w:val="005C27AB"/>
    <w:rsid w:val="005C2CBB"/>
    <w:rsid w:val="005C437C"/>
    <w:rsid w:val="005D6377"/>
    <w:rsid w:val="005E423D"/>
    <w:rsid w:val="005F1D73"/>
    <w:rsid w:val="005F44A9"/>
    <w:rsid w:val="005F6AE9"/>
    <w:rsid w:val="006159FE"/>
    <w:rsid w:val="00616372"/>
    <w:rsid w:val="00650C31"/>
    <w:rsid w:val="0065732C"/>
    <w:rsid w:val="006A0A6E"/>
    <w:rsid w:val="006A4B89"/>
    <w:rsid w:val="006A722D"/>
    <w:rsid w:val="006E64F5"/>
    <w:rsid w:val="0071493E"/>
    <w:rsid w:val="00737265"/>
    <w:rsid w:val="00750DBD"/>
    <w:rsid w:val="00753543"/>
    <w:rsid w:val="00762B15"/>
    <w:rsid w:val="007678BD"/>
    <w:rsid w:val="007921A2"/>
    <w:rsid w:val="007A12B0"/>
    <w:rsid w:val="007C5CB1"/>
    <w:rsid w:val="007F3054"/>
    <w:rsid w:val="0080662B"/>
    <w:rsid w:val="00807034"/>
    <w:rsid w:val="0082199B"/>
    <w:rsid w:val="00831366"/>
    <w:rsid w:val="0083467B"/>
    <w:rsid w:val="00851784"/>
    <w:rsid w:val="00856C5B"/>
    <w:rsid w:val="0085716F"/>
    <w:rsid w:val="00857568"/>
    <w:rsid w:val="008713FB"/>
    <w:rsid w:val="00871835"/>
    <w:rsid w:val="0088307B"/>
    <w:rsid w:val="008855D3"/>
    <w:rsid w:val="008A5E51"/>
    <w:rsid w:val="008C1924"/>
    <w:rsid w:val="008D052E"/>
    <w:rsid w:val="008E4AC9"/>
    <w:rsid w:val="008E6700"/>
    <w:rsid w:val="008F4881"/>
    <w:rsid w:val="00914D66"/>
    <w:rsid w:val="00922921"/>
    <w:rsid w:val="00924CA1"/>
    <w:rsid w:val="009264EA"/>
    <w:rsid w:val="00967829"/>
    <w:rsid w:val="009970CC"/>
    <w:rsid w:val="00A12BF9"/>
    <w:rsid w:val="00A20464"/>
    <w:rsid w:val="00A26D08"/>
    <w:rsid w:val="00A2711E"/>
    <w:rsid w:val="00A36388"/>
    <w:rsid w:val="00A41C32"/>
    <w:rsid w:val="00A54388"/>
    <w:rsid w:val="00A83021"/>
    <w:rsid w:val="00A94FB8"/>
    <w:rsid w:val="00AB3431"/>
    <w:rsid w:val="00AF5E8E"/>
    <w:rsid w:val="00B03355"/>
    <w:rsid w:val="00B10A1B"/>
    <w:rsid w:val="00B5452E"/>
    <w:rsid w:val="00B65605"/>
    <w:rsid w:val="00B704E1"/>
    <w:rsid w:val="00B80A99"/>
    <w:rsid w:val="00B8376D"/>
    <w:rsid w:val="00BA4FA2"/>
    <w:rsid w:val="00BD11B7"/>
    <w:rsid w:val="00BD4D56"/>
    <w:rsid w:val="00BF3AB2"/>
    <w:rsid w:val="00C20FBF"/>
    <w:rsid w:val="00C3338E"/>
    <w:rsid w:val="00C474F2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C3B"/>
    <w:rsid w:val="00D9462B"/>
    <w:rsid w:val="00D97311"/>
    <w:rsid w:val="00DE08BC"/>
    <w:rsid w:val="00DE5E67"/>
    <w:rsid w:val="00DF1576"/>
    <w:rsid w:val="00E373C7"/>
    <w:rsid w:val="00E4118F"/>
    <w:rsid w:val="00E52E69"/>
    <w:rsid w:val="00E83A0B"/>
    <w:rsid w:val="00ED0B31"/>
    <w:rsid w:val="00ED3E7B"/>
    <w:rsid w:val="00ED7367"/>
    <w:rsid w:val="00EE476F"/>
    <w:rsid w:val="00F065FE"/>
    <w:rsid w:val="00F135D5"/>
    <w:rsid w:val="00F2062A"/>
    <w:rsid w:val="00F21E5B"/>
    <w:rsid w:val="00F22262"/>
    <w:rsid w:val="00F4386C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  <w15:docId w15:val="{F6E75151-28F8-4468-BBC4-5057404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6CC5371A1094D3B4E68AE4D98D38D8C8AC92411B82B424A2D2A4B718C169B1CD86C43FAA5DDEF0513174B49m96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6CC5371A1094D3B4E68AE4D98D38D8C8ACE2018BE2B424A2D2A4B718C169B1CD86C43FAA5DDEF0513174B49m96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05708" TargetMode="External"/><Relationship Id="rId5" Type="http://schemas.openxmlformats.org/officeDocument/2006/relationships/hyperlink" Target="https://www.referent.ru/1/3057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Наталья Самсонова</cp:lastModifiedBy>
  <cp:revision>32</cp:revision>
  <cp:lastPrinted>2021-12-24T05:10:00Z</cp:lastPrinted>
  <dcterms:created xsi:type="dcterms:W3CDTF">2021-12-23T08:20:00Z</dcterms:created>
  <dcterms:modified xsi:type="dcterms:W3CDTF">2022-12-28T02:26:00Z</dcterms:modified>
</cp:coreProperties>
</file>